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7939" w14:textId="72711189" w:rsidR="004A5C5F" w:rsidRPr="004A5C5F" w:rsidRDefault="005A6995" w:rsidP="004A5C5F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en-GB"/>
        </w:rPr>
      </w:pPr>
      <w:r w:rsidRPr="004A5C5F">
        <w:rPr>
          <w:rFonts w:ascii="Times New Roman" w:hAnsi="Times New Roman"/>
          <w:i w:val="0"/>
          <w:iCs w:val="0"/>
          <w:sz w:val="24"/>
          <w:szCs w:val="24"/>
          <w:lang w:val="en-GB"/>
        </w:rPr>
        <w:t>FORM A</w:t>
      </w:r>
    </w:p>
    <w:p w14:paraId="63814CED" w14:textId="76BAB51E" w:rsidR="004A5C5F" w:rsidRPr="004A5C5F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  <w:t>Public Announcement</w:t>
      </w:r>
    </w:p>
    <w:p w14:paraId="2F6AB114" w14:textId="73C345F1" w:rsidR="005A6995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Regulation 6 of the Insolvency and Bankruptcy Board of India 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Insolvency Resolution Process for Corporate Persons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 xml:space="preserve">) 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Regulations, 2016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)</w:t>
      </w:r>
    </w:p>
    <w:p w14:paraId="255F2D1B" w14:textId="77777777" w:rsidR="004A5C5F" w:rsidRPr="004A5C5F" w:rsidRDefault="004A5C5F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1827AE" w14:textId="77777777" w:rsidR="005A6995" w:rsidRPr="004A5C5F" w:rsidRDefault="005A6995" w:rsidP="004A5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A5C5F">
        <w:rPr>
          <w:rFonts w:ascii="Times New Roman" w:hAnsi="Times New Roman" w:cs="Times New Roman"/>
          <w:sz w:val="24"/>
          <w:szCs w:val="24"/>
          <w:lang w:val="en-GB"/>
        </w:rPr>
        <w:t xml:space="preserve">FOR THE ATTENTION OF 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  <w:lang w:val="en-GB"/>
        </w:rPr>
        <w:t>NAME OF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]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126"/>
      </w:tblGrid>
      <w:tr w:rsidR="005A6995" w:rsidRPr="004A5C5F" w14:paraId="00D816C8" w14:textId="77777777" w:rsidTr="004B02A7">
        <w:trPr>
          <w:tblHeader/>
        </w:trPr>
        <w:tc>
          <w:tcPr>
            <w:tcW w:w="9214" w:type="dxa"/>
            <w:gridSpan w:val="3"/>
            <w:shd w:val="clear" w:color="auto" w:fill="F2F2F2"/>
          </w:tcPr>
          <w:p w14:paraId="58B708C3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A5C5F">
              <w:rPr>
                <w:rFonts w:ascii="Times New Roman" w:hAnsi="Times New Roman"/>
                <w:smallCaps/>
                <w:sz w:val="24"/>
                <w:szCs w:val="24"/>
              </w:rPr>
              <w:t>Relevant Particulars</w:t>
            </w:r>
          </w:p>
        </w:tc>
      </w:tr>
      <w:tr w:rsidR="005A6995" w:rsidRPr="004A5C5F" w14:paraId="6A9A2035" w14:textId="77777777" w:rsidTr="004B02A7">
        <w:trPr>
          <w:tblHeader/>
        </w:trPr>
        <w:tc>
          <w:tcPr>
            <w:tcW w:w="567" w:type="dxa"/>
          </w:tcPr>
          <w:p w14:paraId="7CEEA662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71F2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of corporate debtor</w:t>
            </w:r>
          </w:p>
        </w:tc>
        <w:tc>
          <w:tcPr>
            <w:tcW w:w="2126" w:type="dxa"/>
          </w:tcPr>
          <w:p w14:paraId="3070989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right="25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77919A2" w14:textId="77777777" w:rsidTr="004B02A7">
        <w:trPr>
          <w:tblHeader/>
        </w:trPr>
        <w:tc>
          <w:tcPr>
            <w:tcW w:w="567" w:type="dxa"/>
          </w:tcPr>
          <w:p w14:paraId="35D2852B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84B9C6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Date of incorporation of corporate debtor</w:t>
            </w:r>
          </w:p>
        </w:tc>
        <w:tc>
          <w:tcPr>
            <w:tcW w:w="2126" w:type="dxa"/>
          </w:tcPr>
          <w:p w14:paraId="37BB4C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0942F5C" w14:textId="77777777" w:rsidTr="004B02A7">
        <w:trPr>
          <w:tblHeader/>
        </w:trPr>
        <w:tc>
          <w:tcPr>
            <w:tcW w:w="567" w:type="dxa"/>
          </w:tcPr>
          <w:p w14:paraId="6BD929B3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521AD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Authority under which corporate debtor is incorporated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registered</w:t>
            </w:r>
          </w:p>
        </w:tc>
        <w:tc>
          <w:tcPr>
            <w:tcW w:w="2126" w:type="dxa"/>
          </w:tcPr>
          <w:p w14:paraId="781033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9720644" w14:textId="77777777" w:rsidTr="004B02A7">
        <w:trPr>
          <w:tblHeader/>
        </w:trPr>
        <w:tc>
          <w:tcPr>
            <w:tcW w:w="567" w:type="dxa"/>
          </w:tcPr>
          <w:p w14:paraId="6FE9941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EE334F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Corporate Identity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. 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Limited Liability Identification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.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 of corporate debtor</w:t>
            </w:r>
          </w:p>
        </w:tc>
        <w:tc>
          <w:tcPr>
            <w:tcW w:w="2126" w:type="dxa"/>
          </w:tcPr>
          <w:p w14:paraId="1D7480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675C2626" w14:textId="77777777" w:rsidTr="004B02A7">
        <w:trPr>
          <w:tblHeader/>
        </w:trPr>
        <w:tc>
          <w:tcPr>
            <w:tcW w:w="567" w:type="dxa"/>
          </w:tcPr>
          <w:p w14:paraId="466723C9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DD4C1F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Address of the registered office and principal office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if any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corporate debtor</w:t>
            </w:r>
          </w:p>
        </w:tc>
        <w:tc>
          <w:tcPr>
            <w:tcW w:w="2126" w:type="dxa"/>
          </w:tcPr>
          <w:p w14:paraId="6622FD4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4B649A1C" w14:textId="77777777" w:rsidTr="004B02A7">
        <w:trPr>
          <w:tblHeader/>
        </w:trPr>
        <w:tc>
          <w:tcPr>
            <w:tcW w:w="567" w:type="dxa"/>
          </w:tcPr>
          <w:p w14:paraId="55305BF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44FC9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Insolvency commencement date in respect of corporate debtor</w:t>
            </w:r>
          </w:p>
        </w:tc>
        <w:tc>
          <w:tcPr>
            <w:tcW w:w="2126" w:type="dxa"/>
          </w:tcPr>
          <w:p w14:paraId="609B930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8FA436E" w14:textId="77777777" w:rsidTr="004B02A7">
        <w:trPr>
          <w:tblHeader/>
        </w:trPr>
        <w:tc>
          <w:tcPr>
            <w:tcW w:w="567" w:type="dxa"/>
          </w:tcPr>
          <w:p w14:paraId="6D78F5D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7C38D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Estimated date of closure of insolvency resolution process</w:t>
            </w:r>
          </w:p>
        </w:tc>
        <w:tc>
          <w:tcPr>
            <w:tcW w:w="2126" w:type="dxa"/>
          </w:tcPr>
          <w:p w14:paraId="3C9E1E3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7A7992F0" w14:textId="77777777" w:rsidTr="004B02A7">
        <w:trPr>
          <w:tblHeader/>
        </w:trPr>
        <w:tc>
          <w:tcPr>
            <w:tcW w:w="567" w:type="dxa"/>
          </w:tcPr>
          <w:p w14:paraId="53F99AD1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9B5252F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and registration number of the insolvency professional acting as interim resolution professional</w:t>
            </w:r>
          </w:p>
        </w:tc>
        <w:tc>
          <w:tcPr>
            <w:tcW w:w="2126" w:type="dxa"/>
          </w:tcPr>
          <w:p w14:paraId="25604D1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4D2E992" w14:textId="77777777" w:rsidTr="004B02A7">
        <w:trPr>
          <w:tblHeader/>
        </w:trPr>
        <w:tc>
          <w:tcPr>
            <w:tcW w:w="567" w:type="dxa"/>
          </w:tcPr>
          <w:p w14:paraId="2506F481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DEC15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of the interim resolution professional, as registered with the Board</w:t>
            </w:r>
          </w:p>
        </w:tc>
        <w:tc>
          <w:tcPr>
            <w:tcW w:w="2126" w:type="dxa"/>
          </w:tcPr>
          <w:p w14:paraId="7AAB331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2CA0832" w14:textId="77777777" w:rsidTr="004B02A7">
        <w:trPr>
          <w:tblHeader/>
        </w:trPr>
        <w:tc>
          <w:tcPr>
            <w:tcW w:w="567" w:type="dxa"/>
          </w:tcPr>
          <w:p w14:paraId="7A574A25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01C471E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to be used for correspondence with the interim resolution professional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126" w:type="dxa"/>
          </w:tcPr>
          <w:p w14:paraId="6852FD3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3FF3C46A" w14:textId="77777777" w:rsidTr="004B02A7">
        <w:trPr>
          <w:tblHeader/>
        </w:trPr>
        <w:tc>
          <w:tcPr>
            <w:tcW w:w="567" w:type="dxa"/>
          </w:tcPr>
          <w:p w14:paraId="2BA93A63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31A1B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Last date for submission of claims</w:t>
            </w:r>
          </w:p>
        </w:tc>
        <w:tc>
          <w:tcPr>
            <w:tcW w:w="2126" w:type="dxa"/>
          </w:tcPr>
          <w:p w14:paraId="091684D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57B1341" w14:textId="77777777" w:rsidTr="004B02A7">
        <w:trPr>
          <w:tblHeader/>
        </w:trPr>
        <w:tc>
          <w:tcPr>
            <w:tcW w:w="567" w:type="dxa"/>
          </w:tcPr>
          <w:p w14:paraId="05C2DDD8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14:paraId="1FC557F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Classes of creditors, if any, under clause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sub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section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6A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section 21, ascertained by the interim resolution professional</w:t>
            </w:r>
          </w:p>
        </w:tc>
        <w:tc>
          <w:tcPr>
            <w:tcW w:w="2126" w:type="dxa"/>
          </w:tcPr>
          <w:p w14:paraId="70CBCCC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Name the class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es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5A6995" w:rsidRPr="004A5C5F" w14:paraId="422FEBA7" w14:textId="77777777" w:rsidTr="004B02A7">
        <w:trPr>
          <w:tblHeader/>
        </w:trPr>
        <w:tc>
          <w:tcPr>
            <w:tcW w:w="567" w:type="dxa"/>
          </w:tcPr>
          <w:p w14:paraId="6D9E8A4A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762C256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Names of Insolvency Professionals identified to act as </w:t>
            </w:r>
            <w:proofErr w:type="spellStart"/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Authorised</w:t>
            </w:r>
            <w:proofErr w:type="spellEnd"/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 Representative of creditors in a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(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bidi="hi-IN"/>
              </w:rPr>
              <w:t>T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hree names for each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2126" w:type="dxa"/>
          </w:tcPr>
          <w:p w14:paraId="16A2D4AE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  <w:p w14:paraId="7FC5D3F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  <w:p w14:paraId="63620392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5A6995" w:rsidRPr="004A5C5F" w14:paraId="4E779B4D" w14:textId="77777777" w:rsidTr="004B02A7">
        <w:trPr>
          <w:tblHeader/>
        </w:trPr>
        <w:tc>
          <w:tcPr>
            <w:tcW w:w="567" w:type="dxa"/>
          </w:tcPr>
          <w:p w14:paraId="437049EC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45D0BDEC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Relevant Forms and </w:t>
            </w:r>
          </w:p>
          <w:p w14:paraId="7412E2BE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Details of authorized representatives </w:t>
            </w:r>
          </w:p>
          <w:p w14:paraId="1391955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0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are available at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: </w:t>
            </w:r>
          </w:p>
        </w:tc>
        <w:tc>
          <w:tcPr>
            <w:tcW w:w="2126" w:type="dxa"/>
          </w:tcPr>
          <w:p w14:paraId="531A663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 xml:space="preserve">Web </w:t>
            </w:r>
            <w:proofErr w:type="gramStart"/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link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:…</w:t>
            </w:r>
            <w:proofErr w:type="gramEnd"/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..</w:t>
            </w:r>
          </w:p>
          <w:p w14:paraId="36CF6C3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gramStart"/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:…</w:t>
            </w:r>
            <w:proofErr w:type="gramEnd"/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….</w:t>
            </w:r>
          </w:p>
        </w:tc>
      </w:tr>
    </w:tbl>
    <w:p w14:paraId="5D8DB59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Notice is hereby given that the National Company Law Tribunal has ordered the commencement of a corporate insolvency resolution process of the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 xml:space="preserve">on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insolvency commencement date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]. </w:t>
      </w:r>
    </w:p>
    <w:p w14:paraId="207C0274" w14:textId="77777777" w:rsidR="005A6995" w:rsidRPr="004A5C5F" w:rsidRDefault="005A6995" w:rsidP="004A5C5F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5076D024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]</w:t>
      </w:r>
      <w:r w:rsidRPr="004A5C5F">
        <w:rPr>
          <w:rFonts w:ascii="Times New Roman" w:hAnsi="Times New Roman" w:cs="Times New Roman"/>
          <w:sz w:val="24"/>
          <w:szCs w:val="24"/>
        </w:rPr>
        <w:t>, are hereby called upon to submit their claims with proof on or before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[</w:t>
      </w:r>
      <w:r w:rsidRPr="004A5C5F">
        <w:rPr>
          <w:rFonts w:ascii="Times New Roman" w:hAnsi="Times New Roman" w:cs="Times New Roman"/>
          <w:sz w:val="24"/>
          <w:szCs w:val="24"/>
        </w:rPr>
        <w:t>insert the date falling fourteen days from the appointment of the interim resolution professional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>to the interim resolution professional at the address mentioned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10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791BD129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B341B2A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The financial creditors shall submit their claims with proof by electronic means only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All other creditors may submit the claims with proof in person, by post or by electronic means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5902EB1B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6002444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A financial creditor belonging to a class,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4A5C5F">
        <w:rPr>
          <w:rFonts w:ascii="Times New Roman" w:hAnsi="Times New Roman" w:cs="Times New Roman"/>
          <w:sz w:val="24"/>
          <w:szCs w:val="24"/>
        </w:rPr>
        <w:t>as listed against the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 xml:space="preserve">12, shall indicate its choice of </w:t>
      </w:r>
      <w:proofErr w:type="spellStart"/>
      <w:r w:rsidRPr="004A5C5F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4A5C5F">
        <w:rPr>
          <w:rFonts w:ascii="Times New Roman" w:hAnsi="Times New Roman" w:cs="Times New Roman"/>
          <w:sz w:val="24"/>
          <w:szCs w:val="24"/>
        </w:rPr>
        <w:t xml:space="preserve"> representative from among the three insolvency professionals listed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  <w:r w:rsidRPr="004A5C5F">
        <w:rPr>
          <w:rFonts w:ascii="Times New Roman" w:hAnsi="Times New Roman" w:cs="Times New Roman"/>
          <w:sz w:val="24"/>
          <w:szCs w:val="24"/>
        </w:rPr>
        <w:t xml:space="preserve">13 to act as </w:t>
      </w:r>
      <w:proofErr w:type="spellStart"/>
      <w:r w:rsidRPr="004A5C5F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4A5C5F">
        <w:rPr>
          <w:rFonts w:ascii="Times New Roman" w:hAnsi="Times New Roman" w:cs="Times New Roman"/>
          <w:sz w:val="24"/>
          <w:szCs w:val="24"/>
        </w:rPr>
        <w:t xml:space="preserve"> representative of the class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specify class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  <w:lang w:bidi="hi-IN"/>
        </w:rPr>
        <w:t xml:space="preserve">in </w:t>
      </w:r>
      <w:r w:rsidRPr="004A5C5F">
        <w:rPr>
          <w:rFonts w:ascii="Times New Roman" w:hAnsi="Times New Roman" w:cs="Times New Roman"/>
          <w:sz w:val="24"/>
          <w:szCs w:val="24"/>
        </w:rPr>
        <w:t>Form CA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</w:p>
    <w:p w14:paraId="5202069F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2C4EFC2" w14:textId="77777777" w:rsidR="005A6995" w:rsidRPr="004A5C5F" w:rsidRDefault="005A6995" w:rsidP="004A5C5F">
      <w:pPr>
        <w:pStyle w:val="Heading1"/>
        <w:tabs>
          <w:tab w:val="left" w:pos="4770"/>
        </w:tabs>
        <w:spacing w:before="0" w:after="0" w:line="240" w:lineRule="auto"/>
        <w:ind w:right="-22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4A5C5F">
        <w:rPr>
          <w:rFonts w:ascii="Times New Roman" w:hAnsi="Times New Roman"/>
          <w:b w:val="0"/>
          <w:bCs w:val="0"/>
          <w:sz w:val="24"/>
          <w:szCs w:val="24"/>
          <w:lang w:val="en-GB"/>
        </w:rPr>
        <w:t>Submission of false or misleading proofs of claim shall attract penalties</w:t>
      </w:r>
      <w:r w:rsidRPr="004A5C5F">
        <w:rPr>
          <w:rFonts w:ascii="Times New Roman" w:hAnsi="Times New Roman"/>
          <w:b w:val="0"/>
          <w:bCs w:val="0"/>
          <w:sz w:val="24"/>
          <w:szCs w:val="24"/>
          <w:cs/>
          <w:lang w:val="en-GB" w:bidi="hi-IN"/>
        </w:rPr>
        <w:t>.</w:t>
      </w:r>
    </w:p>
    <w:p w14:paraId="482EB1D4" w14:textId="77777777" w:rsidR="005A6995" w:rsidRPr="004A5C5F" w:rsidRDefault="005A6995" w:rsidP="004A5C5F">
      <w:pPr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</w:p>
    <w:p w14:paraId="4268EF60" w14:textId="66199AEF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Name and Signature of Interim Resolution Professional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</w:p>
    <w:p w14:paraId="79012AF5" w14:textId="14FDEEA2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Date and Place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  <w:bookmarkStart w:id="0" w:name="_GoBack"/>
      <w:bookmarkEnd w:id="0"/>
    </w:p>
    <w:sectPr w:rsidR="005A6995" w:rsidRPr="004A5C5F" w:rsidSect="004A5C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9CD"/>
    <w:multiLevelType w:val="hybridMultilevel"/>
    <w:tmpl w:val="3DCC4BC0"/>
    <w:lvl w:ilvl="0" w:tplc="5CEC3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70ACE"/>
    <w:multiLevelType w:val="hybridMultilevel"/>
    <w:tmpl w:val="41B64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73"/>
    <w:rsid w:val="000F7D74"/>
    <w:rsid w:val="001D654C"/>
    <w:rsid w:val="00306159"/>
    <w:rsid w:val="004A5C5F"/>
    <w:rsid w:val="005A6995"/>
    <w:rsid w:val="005E0BEF"/>
    <w:rsid w:val="009B0395"/>
    <w:rsid w:val="00A30073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4064"/>
  <w15:chartTrackingRefBased/>
  <w15:docId w15:val="{48E2B876-5C6B-4A6F-8136-8D21CFC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99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9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699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9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99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6</cp:revision>
  <dcterms:created xsi:type="dcterms:W3CDTF">2018-07-04T05:01:00Z</dcterms:created>
  <dcterms:modified xsi:type="dcterms:W3CDTF">2018-07-04T05:02:00Z</dcterms:modified>
</cp:coreProperties>
</file>